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219075</wp:posOffset>
                </wp:positionV>
                <wp:extent cx="6050280" cy="1968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800" cy="7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7pt" to="476.75pt,17.5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>24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.06.2021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  <w:u w:val="none"/>
        </w:rPr>
        <w:t>118</w:t>
      </w:r>
      <w:r>
        <w:rPr>
          <w:rFonts w:ascii="Liberation Serif" w:hAnsi="Liberation Serif"/>
          <w:sz w:val="28"/>
          <w:szCs w:val="28"/>
          <w:u w:val="none"/>
        </w:rPr>
        <w:t xml:space="preserve">   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  <w:u w:val="none"/>
        </w:rPr>
      </w:pPr>
      <w:r>
        <w:rPr>
          <w:rFonts w:ascii="Liberation Serif" w:hAnsi="Liberation Serif"/>
          <w:b/>
          <w:i w:val="false"/>
          <w:sz w:val="28"/>
          <w:szCs w:val="28"/>
          <w:u w:val="none"/>
        </w:rPr>
      </w:r>
    </w:p>
    <w:p>
      <w:pPr>
        <w:pStyle w:val="Normal"/>
        <w:jc w:val="center"/>
        <w:rPr/>
      </w:pPr>
      <w:hyperlink r:id="rId3">
        <w:r>
          <w:rPr>
            <w:rStyle w:val="Style11"/>
            <w:b/>
            <w:bCs/>
            <w:color w:val="000000"/>
            <w:sz w:val="28"/>
            <w:szCs w:val="28"/>
          </w:rPr>
          <w:t xml:space="preserve">Об утверждении Порядка расчета </w:t>
        </w:r>
        <w:r>
          <w:rPr>
            <w:rStyle w:val="ListLabel1"/>
            <w:b/>
            <w:bCs/>
            <w:sz w:val="28"/>
            <w:szCs w:val="28"/>
          </w:rPr>
          <w:t>и возврата сумм</w:t>
        </w:r>
      </w:hyperlink>
    </w:p>
    <w:p>
      <w:pPr>
        <w:pStyle w:val="Normal"/>
        <w:jc w:val="center"/>
        <w:rPr/>
      </w:pPr>
      <w:hyperlink r:id="rId4">
        <w:r>
          <w:rPr>
            <w:rStyle w:val="ListLabel1"/>
            <w:b/>
            <w:bCs/>
            <w:sz w:val="28"/>
            <w:szCs w:val="28"/>
          </w:rPr>
          <w:t>инициативных платежей, подлежащих возврату лицам</w:t>
        </w:r>
      </w:hyperlink>
    </w:p>
    <w:p>
      <w:pPr>
        <w:pStyle w:val="Normal"/>
        <w:jc w:val="center"/>
        <w:rPr/>
      </w:pPr>
      <w:hyperlink r:id="rId5">
        <w:r>
          <w:rPr>
            <w:rStyle w:val="ListLabel1"/>
            <w:b/>
            <w:bCs/>
            <w:sz w:val="28"/>
            <w:szCs w:val="28"/>
          </w:rPr>
          <w:t>(в том числе организациям), осуществившим</w:t>
        </w:r>
      </w:hyperlink>
    </w:p>
    <w:p>
      <w:pPr>
        <w:pStyle w:val="Normal"/>
        <w:jc w:val="center"/>
        <w:rPr/>
      </w:pPr>
      <w:hyperlink r:id="rId6">
        <w:r>
          <w:rPr>
            <w:rStyle w:val="ListLabel1"/>
            <w:rFonts w:ascii="Liberation Serif" w:hAnsi="Liberation Serif"/>
            <w:b/>
            <w:bCs/>
            <w:i w:val="false"/>
            <w:sz w:val="28"/>
            <w:szCs w:val="28"/>
            <w:u w:val="none"/>
          </w:rPr>
          <w:t xml:space="preserve">их перечисление в бюджет </w:t>
        </w:r>
      </w:hyperlink>
      <w:r>
        <w:rPr>
          <w:rStyle w:val="Style11"/>
          <w:rFonts w:ascii="Liberation Serif" w:hAnsi="Liberation Serif"/>
          <w:b/>
          <w:bCs/>
          <w:i/>
          <w:color w:val="000000"/>
          <w:sz w:val="28"/>
          <w:szCs w:val="28"/>
          <w:u w:val="none"/>
        </w:rPr>
        <w:t xml:space="preserve"> 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</w:rPr>
        <w:t>Восточного сельского поселения</w:t>
      </w:r>
    </w:p>
    <w:p>
      <w:pPr>
        <w:pStyle w:val="32"/>
        <w:widowControl/>
        <w:bidi w:val="0"/>
        <w:ind w:left="-227" w:right="0" w:firstLine="283"/>
        <w:jc w:val="both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руководствуясь </w:t>
      </w:r>
      <w:hyperlink r:id="rId7">
        <w:r>
          <w:rPr>
            <w:rStyle w:val="Style9"/>
            <w:color w:val="000000"/>
            <w:sz w:val="28"/>
            <w:szCs w:val="28"/>
            <w:u w:val="none"/>
          </w:rPr>
          <w:t>статьями</w:t>
        </w:r>
      </w:hyperlink>
      <w:r>
        <w:rPr>
          <w:color w:val="000000"/>
          <w:sz w:val="28"/>
          <w:szCs w:val="28"/>
        </w:rPr>
        <w:t xml:space="preserve"> 14.1, 22 Устава поселения, Дума </w:t>
      </w:r>
      <w:r>
        <w:rPr>
          <w:i w:val="false"/>
          <w:iCs w:val="false"/>
          <w:color w:val="000000"/>
          <w:sz w:val="28"/>
          <w:szCs w:val="28"/>
        </w:rPr>
        <w:t>Восточного сельского поселения</w:t>
      </w:r>
    </w:p>
    <w:p>
      <w:pPr>
        <w:pStyle w:val="Normal"/>
        <w:ind w:hanging="0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РЕШИЛА:</w:t>
      </w:r>
      <w:r>
        <w:rPr>
          <w:sz w:val="28"/>
          <w:szCs w:val="28"/>
        </w:rPr>
        <w:t> </w:t>
      </w:r>
    </w:p>
    <w:p>
      <w:pPr>
        <w:pStyle w:val="Normal"/>
        <w:widowControl/>
        <w:bidi w:val="0"/>
        <w:ind w:left="0" w:right="0" w:firstLine="283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sz w:val="28"/>
          <w:szCs w:val="28"/>
        </w:rPr>
        <w:t xml:space="preserve">1. Утвердить </w:t>
      </w:r>
      <w:hyperlink w:anchor="p40">
        <w:r>
          <w:rPr>
            <w:rStyle w:val="ListLabel5"/>
            <w:rFonts w:ascii="Liberation Serif" w:hAnsi="Liberation Serif"/>
            <w:i w:val="false"/>
            <w:sz w:val="28"/>
            <w:szCs w:val="28"/>
          </w:rPr>
          <w:t>Порядок</w:t>
        </w:r>
      </w:hyperlink>
      <w:r>
        <w:rPr>
          <w:rFonts w:ascii="Liberation Serif" w:hAnsi="Liberation Serif"/>
          <w:i w:val="false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Восточного сельского поселения</w:t>
      </w:r>
      <w:r>
        <w:rPr>
          <w:rFonts w:ascii="Liberation Serif" w:hAnsi="Liberation Serif"/>
          <w:i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color w:val="000000"/>
          <w:sz w:val="28"/>
          <w:szCs w:val="28"/>
        </w:rPr>
        <w:t>согласно приложению (прилагается).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</w:t>
      </w:r>
      <w:r>
        <w:rPr>
          <w:rFonts w:ascii="Liberation Serif" w:hAnsi="Liberation Serif"/>
          <w:i w:val="false"/>
          <w:sz w:val="28"/>
          <w:szCs w:val="28"/>
        </w:rPr>
        <w:t>2. Опубликовать  настоящее   решение в газете Камышловские известия и разместить на официальном сайте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8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</w:rPr>
          <w:t>.ru</w:t>
        </w:r>
      </w:hyperlink>
    </w:p>
    <w:p>
      <w:pPr>
        <w:pStyle w:val="32"/>
        <w:bidi w:val="0"/>
        <w:rPr/>
      </w:pPr>
      <w:r>
        <w:rPr>
          <w:rStyle w:val="Style9"/>
          <w:rFonts w:cs="Liberation Serif;Times New Roman" w:ascii="Liberation Serif;Times New Roman" w:hAnsi="Liberation Serif;Times New Roman"/>
          <w:i w:val="false"/>
          <w:sz w:val="28"/>
          <w:szCs w:val="28"/>
          <w:highlight w:val="white"/>
          <w:u w:val="none"/>
          <w:lang w:val="ru-RU"/>
        </w:rPr>
        <w:t xml:space="preserve">  </w:t>
      </w:r>
      <w:r>
        <w:rPr>
          <w:i w:val="false"/>
          <w:iCs w:val="false"/>
        </w:rPr>
        <w:t>3. Настоящее решение вступает в силу со дня его официального опубликования.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sz w:val="28"/>
          <w:szCs w:val="28"/>
        </w:rPr>
        <w:t>4. Контроль  за исполнением  настоящего решения возложить на         председателя Думы поселения.</w:t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jc w:val="right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Приложение к решению Думы </w:t>
      </w:r>
    </w:p>
    <w:p>
      <w:pPr>
        <w:pStyle w:val="32"/>
        <w:jc w:val="right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</w:t>
      </w:r>
    </w:p>
    <w:p>
      <w:pPr>
        <w:pStyle w:val="32"/>
        <w:jc w:val="right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от 24.06.2021 №  </w:t>
      </w:r>
      <w:r>
        <w:rPr>
          <w:rFonts w:ascii="Liberation Serif" w:hAnsi="Liberation Serif"/>
          <w:i w:val="false"/>
          <w:sz w:val="28"/>
          <w:szCs w:val="28"/>
        </w:rPr>
        <w:t>118</w:t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Порядок расчета и возврата сумм инициативных платежей,   подлежащих возврату лицам (в том числе организациям), осуществившим их перечисление в бюджет</w:t>
      </w:r>
      <w:r>
        <w:rPr>
          <w:b/>
          <w:bCs/>
          <w:i w:val="false"/>
          <w:iCs w:val="false"/>
          <w:sz w:val="28"/>
          <w:szCs w:val="28"/>
        </w:rPr>
        <w:t xml:space="preserve">  Восточного сельского поселения </w:t>
      </w:r>
    </w:p>
    <w:p>
      <w:pPr>
        <w:pStyle w:val="Normal"/>
        <w:jc w:val="both"/>
        <w:rPr/>
      </w:pPr>
      <w:r>
        <w:rPr>
          <w:sz w:val="28"/>
          <w:szCs w:val="28"/>
        </w:rPr>
        <w:t> 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1. Порядок расчета и возврата сумм инициативных платежей, подлежащих возврату лицам (в том числе организациям), осуществившим их перечисление в бюджет Восточного сельского поселения 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Восточного сельского поселения (далее - денежные средства, подлежащие возврату).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                 (в том числе организацией) инициативного платежа.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>
      <w:pPr>
        <w:pStyle w:val="Normal"/>
        <w:jc w:val="both"/>
        <w:rPr/>
      </w:pPr>
      <w:r>
        <w:rPr>
          <w:sz w:val="28"/>
          <w:szCs w:val="28"/>
        </w:rPr>
        <w:t> 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Возврат = ИП - ИФ, где:</w:t>
      </w:r>
    </w:p>
    <w:p>
      <w:pPr>
        <w:pStyle w:val="Normal"/>
        <w:jc w:val="both"/>
        <w:rPr/>
      </w:pPr>
      <w:r>
        <w:rPr>
          <w:sz w:val="28"/>
          <w:szCs w:val="28"/>
        </w:rPr>
        <w:t> 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ИП - размер инициативных платежей, поступивших в бюджет Восточного сельского поселения от инициатора (представителя инициатора) проекта;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ИФ - размер фактических расходов на реализацию инициативного проекта, осуществленных за счет инициативных платежей, поступивших в бюджет Восточного сельского поселения</w:t>
      </w:r>
      <w:r>
        <w:rPr>
          <w:i/>
          <w:sz w:val="28"/>
          <w:szCs w:val="28"/>
        </w:rPr>
        <w:t>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5. В течение 10 рабочих дней со дня окончания срока реализации инициативного проекта отраслевой (функциональный) орган администрации Восточного сельского поселения,</w:t>
      </w:r>
      <w:r>
        <w:rPr/>
        <w:t xml:space="preserve"> </w:t>
      </w:r>
      <w:r>
        <w:rPr>
          <w:sz w:val="28"/>
          <w:szCs w:val="28"/>
        </w:rPr>
        <w:t>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>
      <w:pPr>
        <w:pStyle w:val="Normal"/>
        <w:ind w:firstLine="567"/>
        <w:jc w:val="both"/>
        <w:rPr/>
      </w:pPr>
      <w:bookmarkStart w:id="1" w:name="p56"/>
      <w:bookmarkEnd w:id="1"/>
      <w:r>
        <w:rPr>
          <w:sz w:val="28"/>
          <w:szCs w:val="28"/>
        </w:rPr>
        <w:t>6. Для осуществления возврата денежных средств лицо (в том числе организация), внесшее инициативный платеж в бюджет Восточного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предоставляет в отраслевой (функциональный) орган администрации Восточного сельского поселения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7. Отраслевой (функциональный) орган администрации Восточного сельского поселения, осуществляющий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7">
    <w:name w:val="ListLabel 2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3">
    <w:name w:val="ListLabel 3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1">
    <w:name w:val="Гипертекстовая ссылка"/>
    <w:qFormat/>
    <w:rPr>
      <w:color w:val="106BBE"/>
    </w:rPr>
  </w:style>
  <w:style w:type="character" w:styleId="ListLabel36">
    <w:name w:val="ListLabel 36"/>
    <w:qFormat/>
    <w:rPr>
      <w:b/>
      <w:bCs/>
      <w:color w:val="000000"/>
      <w:sz w:val="28"/>
      <w:szCs w:val="28"/>
    </w:rPr>
  </w:style>
  <w:style w:type="character" w:styleId="ListLabel37">
    <w:name w:val="ListLabel 37"/>
    <w:qFormat/>
    <w:rPr>
      <w:b/>
      <w:bCs/>
      <w:sz w:val="28"/>
      <w:szCs w:val="28"/>
    </w:rPr>
  </w:style>
  <w:style w:type="character" w:styleId="ListLabel38">
    <w:name w:val="ListLabel 38"/>
    <w:qFormat/>
    <w:rPr>
      <w:rFonts w:ascii="Liberation Serif" w:hAnsi="Liberation Serif"/>
      <w:b/>
      <w:bCs/>
      <w:i w:val="false"/>
      <w:sz w:val="28"/>
      <w:szCs w:val="28"/>
      <w:u w:val="none"/>
    </w:rPr>
  </w:style>
  <w:style w:type="character" w:styleId="ListLabel39">
    <w:name w:val="ListLabel 39"/>
    <w:qFormat/>
    <w:rPr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Liberation Serif" w:hAnsi="Liberation Serif"/>
      <w:i w:val="false"/>
      <w:sz w:val="28"/>
      <w:szCs w:val="28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paragraph" w:styleId="Style12">
    <w:name w:val="Заголовок"/>
    <w:basedOn w:val="Normal"/>
    <w:next w:val="Style13"/>
    <w:qFormat/>
    <w:pPr>
      <w:jc w:val="center"/>
    </w:pPr>
    <w:rPr>
      <w:sz w:val="28"/>
    </w:rPr>
  </w:style>
  <w:style w:type="paragraph" w:styleId="Style13">
    <w:name w:val="Body Text"/>
    <w:basedOn w:val="Normal"/>
    <w:pPr>
      <w:jc w:val="both"/>
    </w:pPr>
    <w:rPr>
      <w:sz w:val="28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7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8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garant-01.op.ru/document?id=72981690&amp;sub=0" TargetMode="External"/><Relationship Id="rId4" Type="http://schemas.openxmlformats.org/officeDocument/2006/relationships/hyperlink" Target="http://garant-01.op.ru/document?id=72981690&amp;sub=0" TargetMode="External"/><Relationship Id="rId5" Type="http://schemas.openxmlformats.org/officeDocument/2006/relationships/hyperlink" Target="http://garant-01.op.ru/document?id=72981690&amp;sub=0" TargetMode="External"/><Relationship Id="rId6" Type="http://schemas.openxmlformats.org/officeDocument/2006/relationships/hyperlink" Target="http://garant-01.op.ru/document?id=72981690&amp;sub=0" TargetMode="External"/><Relationship Id="rId7" Type="http://schemas.openxmlformats.org/officeDocument/2006/relationships/hyperlink" Target="consultantplus://offline/ref=E241AE207EF27085E061DB9FC926613BB78F0EBB0D09450F633DF8C9E5AEB83F100640D9FEE8AA5436AF17123E7E30AA3CE0885DDAA25CF191F4EAD9GCc4G" TargetMode="External"/><Relationship Id="rId8" Type="http://schemas.openxmlformats.org/officeDocument/2006/relationships/hyperlink" Target="http://dumavsp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410</TotalTime>
  <Application>LibreOffice/6.2.7.1$Windows_X86_64 LibreOffice_project/23edc44b61b830b7d749943e020e96f5a7df63bf</Application>
  <Pages>3</Pages>
  <Words>547</Words>
  <Characters>3911</Characters>
  <CharactersWithSpaces>4835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2021-06-22T09:43:50Z</cp:lastPrinted>
  <dcterms:modified xsi:type="dcterms:W3CDTF">2021-06-22T10:28:07Z</dcterms:modified>
  <cp:revision>36</cp:revision>
  <dc:subject/>
  <dc:title>РОССИЙСКАЯ  ФЕДЕРАЦИЯ</dc:title>
</cp:coreProperties>
</file>