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403225</wp:posOffset>
                </wp:positionV>
                <wp:extent cx="6060440" cy="2984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988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1.05pt" to="477.55pt,32.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</w:t>
      </w:r>
      <w:r>
        <w:rPr>
          <w:rFonts w:ascii="Liberation Serif" w:hAnsi="Liberation Serif"/>
          <w:sz w:val="28"/>
          <w:szCs w:val="28"/>
          <w:u w:val="none"/>
        </w:rPr>
        <w:t>7</w:t>
      </w:r>
      <w:r>
        <w:rPr>
          <w:rFonts w:ascii="Liberation Serif" w:hAnsi="Liberation Serif"/>
          <w:sz w:val="28"/>
          <w:szCs w:val="28"/>
          <w:u w:val="none"/>
        </w:rPr>
        <w:t>.0</w:t>
      </w:r>
      <w:r>
        <w:rPr>
          <w:rFonts w:ascii="Liberation Serif" w:hAnsi="Liberation Serif"/>
          <w:sz w:val="28"/>
          <w:szCs w:val="28"/>
          <w:u w:val="none"/>
        </w:rPr>
        <w:t>6</w:t>
      </w:r>
      <w:r>
        <w:rPr>
          <w:rFonts w:ascii="Liberation Serif" w:hAnsi="Liberation Serif"/>
          <w:sz w:val="28"/>
          <w:szCs w:val="28"/>
          <w:u w:val="none"/>
        </w:rPr>
        <w:t>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</w:t>
      </w:r>
      <w:r>
        <w:rPr>
          <w:rFonts w:ascii="Liberation Serif" w:hAnsi="Liberation Serif"/>
          <w:sz w:val="28"/>
          <w:szCs w:val="28"/>
          <w:u w:val="none"/>
        </w:rPr>
        <w:t>54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внесении изменений в  решение Думы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Восточного сельского поселения №237  от 27.07.2023г.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color w:val="000000"/>
          <w:sz w:val="28"/>
          <w:szCs w:val="28"/>
        </w:rPr>
        <w:t>«Об установлении и введении в действие земельного налога  на территории  Восточного сельского поселения Камышловского муниципального района Свердловской области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 xml:space="preserve">» </w:t>
      </w:r>
      <w:r>
        <w:rPr>
          <w:rFonts w:ascii="Liberation Serif" w:hAnsi="Liberation Serif"/>
          <w:b/>
          <w:i w:val="false"/>
          <w:color w:val="000000"/>
          <w:sz w:val="28"/>
          <w:szCs w:val="28"/>
        </w:rPr>
        <w:t xml:space="preserve">(в  редакции Решения Думы Восточного сельского поселения от 29.02.2024 №32) 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корректировки ранее вынесенного решения и устранения юридической неточности</w:t>
      </w:r>
      <w:r>
        <w:rPr>
          <w:rFonts w:ascii="Liberation Serif" w:hAnsi="Liberation Serif"/>
          <w:i w:val="false"/>
          <w:sz w:val="28"/>
          <w:szCs w:val="28"/>
        </w:rPr>
        <w:t>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 xml:space="preserve">Абзац третий подпункта 2.1. пункта </w:t>
      </w:r>
      <w:r>
        <w:rPr>
          <w:rFonts w:ascii="Liberation Serif" w:hAnsi="Liberation Serif"/>
          <w:b w:val="false"/>
          <w:bCs w:val="false"/>
          <w:sz w:val="28"/>
          <w:szCs w:val="28"/>
        </w:rPr>
        <w:t>Р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>ешение Думы Восточного сельского поселения №237  от 27.07.2023г. Изложить в следующей редакции:</w:t>
      </w:r>
    </w:p>
    <w:p>
      <w:pPr>
        <w:pStyle w:val="Normal"/>
        <w:widowControl/>
        <w:bidi w:val="0"/>
        <w:ind w:left="0" w:right="0" w:firstLine="737"/>
        <w:jc w:val="both"/>
        <w:rPr>
          <w:rFonts w:ascii="Liberation Serif" w:hAnsi="Liberation Serif"/>
          <w:b w:val="false"/>
          <w:b w:val="false"/>
          <w:bCs w:val="false"/>
          <w:i w:val="false"/>
          <w:i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-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занятых 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instrText> HYPERLINK "https://www.consultant.ru/document/cons_doc_LAW_475049/fe99dd6f3781dbb9760856b276d3e28ff420f33e/" \l "dst100149"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1A0DAB"/>
          <w:spacing w:val="0"/>
          <w:sz w:val="28"/>
          <w:szCs w:val="28"/>
          <w:highlight w:val="white"/>
          <w:u w:val="single"/>
        </w:rPr>
        <w:t>жилищным фондом</w:t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и (или) объектами инженерной инфраструктуры жилищно-коммунального комплекса (за </w:t>
      </w:r>
      <w:hyperlink r:id="rId3">
        <w:r>
          <w:rPr>
            <w:rStyle w:val="Style9"/>
            <w:rFonts w:ascii="Liberation Serif" w:hAnsi="Liberation Serif"/>
            <w:b w:val="false"/>
            <w:bCs w:val="false"/>
            <w:i w:val="false"/>
            <w:caps w:val="false"/>
            <w:smallCaps w:val="false"/>
            <w:color w:val="1A0DAB"/>
            <w:spacing w:val="0"/>
            <w:sz w:val="28"/>
            <w:szCs w:val="28"/>
            <w:highlight w:val="white"/>
            <w:u w:val="single"/>
          </w:rPr>
          <w:t>исключением</w:t>
        </w:r>
      </w:hyperlink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instrText> HYPERLINK "https://www.consultant.ru/document/cons_doc_LAW_466786/" \l "dst100005"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1A0DAB"/>
          <w:spacing w:val="0"/>
          <w:sz w:val="28"/>
          <w:szCs w:val="28"/>
          <w:highlight w:val="white"/>
          <w:u w:val="single"/>
        </w:rPr>
        <w:t>части</w:t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r>
        <w:fldChar w:fldCharType="begin"/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instrText> HYPERLINK "https://www.consultant.ru/document/cons_doc_LAW_452382/3dedc70824b817c6bfc388277e38622bd59c4da9/" \l "dst100454"</w:instrText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fldChar w:fldCharType="separate"/>
      </w:r>
      <w:r>
        <w:rPr>
          <w:rStyle w:val="Style9"/>
          <w:rFonts w:ascii="Liberation Serif" w:hAnsi="Liberation Serif"/>
          <w:b w:val="false"/>
          <w:bCs w:val="false"/>
          <w:i w:val="false"/>
          <w:caps w:val="false"/>
          <w:smallCaps w:val="false"/>
          <w:color w:val="FF9900"/>
          <w:spacing w:val="0"/>
          <w:sz w:val="28"/>
          <w:szCs w:val="28"/>
          <w:highlight w:val="white"/>
          <w:u w:val="single"/>
        </w:rPr>
        <w:t>исключением</w:t>
      </w:r>
      <w:r>
        <w:rPr>
          <w:rStyle w:val="Style9"/>
          <w:smallCaps w:val="false"/>
          <w:caps w:val="false"/>
          <w:sz w:val="28"/>
          <w:spacing w:val="0"/>
          <w:i w:val="false"/>
          <w:u w:val="single"/>
          <w:b w:val="false"/>
          <w:highlight w:val="white"/>
          <w:szCs w:val="28"/>
          <w:bCs w:val="false"/>
          <w:rFonts w:ascii="Liberation Serif" w:hAnsi="Liberation Serif"/>
        </w:rPr>
        <w:fldChar w:fldCharType="end"/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Liberation Serif" w:hAnsi="Liberation Serif"/>
          <w:b w:val="false"/>
          <w:bCs w:val="false"/>
          <w:i w:val="false"/>
          <w:sz w:val="28"/>
          <w:szCs w:val="28"/>
        </w:rPr>
        <w:t xml:space="preserve"> </w:t>
      </w:r>
    </w:p>
    <w:p>
      <w:pPr>
        <w:pStyle w:val="Normal"/>
        <w:widowControl/>
        <w:overflowPunct w:val="true"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Настоящее решение вступает в силу с момента его  опубликования 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Опубликовать настоящее решение в газете Камышловские известия (муниципальный вестник) и разместить на официальном сайте  Думы Восточного сельского поселения </w:t>
      </w:r>
      <w:hyperlink r:id="rId4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5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cs="Times New Roman" w:ascii="Liberation Serif" w:hAnsi="Liberation Serif"/>
          <w:sz w:val="28"/>
          <w:szCs w:val="28"/>
        </w:rPr>
        <w:t>Контроль за исполнением настоящего решения возложить на председателя думской  комиссии по  финансово-экономической политике Шишкину Ю.В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tru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19">
    <w:name w:val="ListLabel 119"/>
    <w:qFormat/>
    <w:rPr>
      <w:rFonts w:ascii="Liberation Serif" w:hAnsi="Liberation Serif" w:cs="Liberation Serif;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20">
    <w:name w:val="ListLabel 12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onsultant.ru/document/cons_doc_LAW_28165/fd2ac88b2311a6053a128cfa43aa07672e826213/" TargetMode="External"/><Relationship Id="rId4" Type="http://schemas.openxmlformats.org/officeDocument/2006/relationships/hyperlink" Target="http://dumavsp.ru/" TargetMode="External"/><Relationship Id="rId5" Type="http://schemas.openxmlformats.org/officeDocument/2006/relationships/hyperlink" Target="http://vostochnoesp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479</TotalTime>
  <Application>LibreOffice/6.2.7.1$Windows_X86_64 LibreOffice_project/23edc44b61b830b7d749943e020e96f5a7df63bf</Application>
  <Pages>2</Pages>
  <Words>250</Words>
  <Characters>1902</Characters>
  <CharactersWithSpaces>2607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2023-05-23T12:33:41Z</cp:lastPrinted>
  <dcterms:modified xsi:type="dcterms:W3CDTF">2024-06-18T11:32:53Z</dcterms:modified>
  <cp:revision>60</cp:revision>
  <dc:subject/>
  <dc:title>РОССИЙСКАЯ  ФЕДЕРАЦИЯ</dc:title>
</cp:coreProperties>
</file>